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886"/>
        <w:tblW w:w="10605"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tblPr>
      <w:tblGrid>
        <w:gridCol w:w="5074"/>
        <w:gridCol w:w="5531"/>
      </w:tblGrid>
      <w:tr w:rsidR="00E274EE" w:rsidRPr="00E274EE" w:rsidTr="00E274EE">
        <w:trPr>
          <w:tblCellSpacing w:w="15" w:type="dxa"/>
        </w:trPr>
        <w:tc>
          <w:tcPr>
            <w:tcW w:w="10545" w:type="dxa"/>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E274EE" w:rsidRPr="00E274EE" w:rsidRDefault="00E274EE" w:rsidP="00E274EE">
            <w:pPr>
              <w:spacing w:before="100" w:beforeAutospacing="1" w:after="100" w:afterAutospacing="1" w:line="240" w:lineRule="auto"/>
              <w:jc w:val="center"/>
              <w:rPr>
                <w:rFonts w:ascii="inherit" w:eastAsia="Times New Roman" w:hAnsi="inherit" w:cs="Times New Roman"/>
                <w:color w:val="333333"/>
                <w:sz w:val="24"/>
                <w:szCs w:val="24"/>
              </w:rPr>
            </w:pPr>
            <w:r w:rsidRPr="00E274EE">
              <w:rPr>
                <w:rFonts w:ascii="inherit" w:eastAsia="Times New Roman" w:hAnsi="inherit" w:cs="Times New Roman"/>
                <w:b/>
                <w:bCs/>
                <w:color w:val="333333"/>
                <w:sz w:val="24"/>
                <w:szCs w:val="24"/>
              </w:rPr>
              <w:t>BÖLÜNME İŞLEMLERİ İLE İLGİLİ KARAR NİSAPLARI</w:t>
            </w:r>
          </w:p>
        </w:tc>
      </w:tr>
      <w:tr w:rsidR="00E274EE" w:rsidRPr="00E274EE" w:rsidTr="00E274EE">
        <w:trPr>
          <w:tblCellSpacing w:w="15" w:type="dxa"/>
        </w:trPr>
        <w:tc>
          <w:tcPr>
            <w:tcW w:w="5029"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333333"/>
                <w:sz w:val="24"/>
                <w:szCs w:val="24"/>
              </w:rPr>
              <w:t>Bölünme Sözleşmesi Veya Bölünme Planının Onanması İle İlgili Genel Kurul Kararı</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TTK.</w:t>
            </w:r>
            <w:proofErr w:type="gramStart"/>
            <w:r w:rsidRPr="00E274EE">
              <w:rPr>
                <w:rFonts w:ascii="inherit" w:eastAsia="Times New Roman" w:hAnsi="inherit" w:cs="Times New Roman"/>
                <w:color w:val="FF0000"/>
                <w:sz w:val="24"/>
                <w:szCs w:val="24"/>
              </w:rPr>
              <w:t>173/2,151</w:t>
            </w:r>
            <w:proofErr w:type="gramEnd"/>
            <w:r w:rsidRPr="00E274EE">
              <w:rPr>
                <w:rFonts w:ascii="inherit" w:eastAsia="Times New Roman" w:hAnsi="inherit" w:cs="Times New Roman"/>
                <w:color w:val="FF0000"/>
                <w:sz w:val="24"/>
                <w:szCs w:val="24"/>
              </w:rPr>
              <w:t>/ 1-3-4 ve 6.fıkraları</w:t>
            </w:r>
          </w:p>
        </w:tc>
        <w:tc>
          <w:tcPr>
            <w:tcW w:w="5486"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E274EE" w:rsidRPr="00E274EE" w:rsidRDefault="00E274EE" w:rsidP="00E274EE">
            <w:pPr>
              <w:spacing w:after="0" w:line="240" w:lineRule="auto"/>
              <w:rPr>
                <w:rFonts w:ascii="inherit" w:eastAsia="Times New Roman" w:hAnsi="inherit" w:cs="Times New Roman"/>
                <w:color w:val="333333"/>
                <w:sz w:val="24"/>
                <w:szCs w:val="24"/>
              </w:rPr>
            </w:pPr>
            <w:r w:rsidRPr="00E274EE">
              <w:rPr>
                <w:rFonts w:ascii="inherit" w:eastAsia="Times New Roman" w:hAnsi="inherit" w:cs="Times New Roman"/>
                <w:color w:val="333333"/>
                <w:sz w:val="24"/>
                <w:szCs w:val="24"/>
              </w:rPr>
              <w:t>Bölünme planının, genel kurulda TTK md.151/ 1-3-4 ve 6. fıkralarındaki öngörülen nisaplara uyularak alınır.</w:t>
            </w:r>
          </w:p>
        </w:tc>
      </w:tr>
      <w:tr w:rsidR="00E274EE" w:rsidRPr="00E274EE" w:rsidTr="00E274EE">
        <w:trPr>
          <w:tblCellSpacing w:w="15" w:type="dxa"/>
        </w:trPr>
        <w:tc>
          <w:tcPr>
            <w:tcW w:w="5029"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333333"/>
                <w:sz w:val="24"/>
                <w:szCs w:val="24"/>
              </w:rPr>
              <w:t>Oranın Korunmadığı Bölünmede Onama Kararı</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TTK.173/3</w:t>
            </w:r>
          </w:p>
        </w:tc>
        <w:tc>
          <w:tcPr>
            <w:tcW w:w="5486"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E274EE" w:rsidRPr="00E274EE" w:rsidRDefault="00E274EE" w:rsidP="00E274EE">
            <w:pPr>
              <w:spacing w:after="0" w:line="240" w:lineRule="auto"/>
              <w:rPr>
                <w:rFonts w:ascii="inherit" w:eastAsia="Times New Roman" w:hAnsi="inherit" w:cs="Times New Roman"/>
                <w:color w:val="333333"/>
                <w:sz w:val="24"/>
                <w:szCs w:val="24"/>
              </w:rPr>
            </w:pPr>
            <w:r w:rsidRPr="00E274EE">
              <w:rPr>
                <w:rFonts w:ascii="inherit" w:eastAsia="Times New Roman" w:hAnsi="inherit" w:cs="Times New Roman"/>
                <w:color w:val="333333"/>
                <w:sz w:val="24"/>
                <w:szCs w:val="24"/>
              </w:rPr>
              <w:t>Devreden şirkette oy hakkına haiz ortakların en az %90 ile alınır</w:t>
            </w:r>
          </w:p>
        </w:tc>
      </w:tr>
      <w:tr w:rsidR="00E274EE" w:rsidRPr="00E274EE" w:rsidTr="00E274EE">
        <w:trPr>
          <w:tblCellSpacing w:w="15" w:type="dxa"/>
        </w:trPr>
        <w:tc>
          <w:tcPr>
            <w:tcW w:w="10545" w:type="dxa"/>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Bölünme kararı</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MADDE 173 -</w:t>
            </w:r>
            <w:r w:rsidRPr="00E274EE">
              <w:rPr>
                <w:rFonts w:ascii="inherit" w:eastAsia="Times New Roman" w:hAnsi="inherit" w:cs="Times New Roman"/>
                <w:color w:val="333333"/>
                <w:sz w:val="24"/>
                <w:szCs w:val="24"/>
              </w:rPr>
              <w:t> (1) 175 inci maddede öngörülen teminatın sağlanmasından sonra, bölünmeye katılan şirketlerin yönetim organları, bölünme sözleşmesini veya bölünme planını genel kurula sunar.</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(2) Onama kararı 151 inci maddenin birinci, üçüncü, dördüncü ve altıncı fıkralarında öngörülen nisaplara uyularak alınır.</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333333"/>
                <w:sz w:val="24"/>
                <w:szCs w:val="24"/>
              </w:rPr>
              <w:t>(3) Oranın korunmadığı bölünmede onama kararı, devreden şirkette oy hakkını haiz ortakların en az yüzde doksanıyla alınır.</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MADDE 151</w:t>
            </w:r>
            <w:r w:rsidRPr="00E274EE">
              <w:rPr>
                <w:rFonts w:ascii="inherit" w:eastAsia="Times New Roman" w:hAnsi="inherit" w:cs="Times New Roman"/>
                <w:b/>
                <w:bCs/>
                <w:color w:val="FF0000"/>
                <w:sz w:val="24"/>
                <w:szCs w:val="24"/>
              </w:rPr>
              <w:t> -</w:t>
            </w:r>
            <w:r w:rsidRPr="00E274EE">
              <w:rPr>
                <w:rFonts w:ascii="inherit" w:eastAsia="Times New Roman" w:hAnsi="inherit" w:cs="Times New Roman"/>
                <w:color w:val="FF0000"/>
                <w:sz w:val="24"/>
                <w:szCs w:val="24"/>
              </w:rPr>
              <w:t> (1) Yönetim organı, genel kurula birleşme sözleşmesini sunar. Birleşme sözleşmesi genel kurulda;</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a) Bu Kanunun 421 inci maddesinin beşinci fıkrasının (b) bendi saklı olmak üzere, anonim ve sermayesi paylara bölünmüş komandit şirketlerde, esas veya çıkarılmış sermayenin çoğunluğunu temsil etmesi şartıyla, genel kurulda mevcut bulunan oyların dörtte üçüyle,</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b) Bir kooperatif tarafından devralınacak sermaye şirketlerinde, sermayenin çoğunluğunu temsil etmesi şartıyla, genel kurulda mevcut bulunan oyların dörtte üçüyle,</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 xml:space="preserve">c) </w:t>
            </w:r>
            <w:proofErr w:type="spellStart"/>
            <w:r w:rsidRPr="00E274EE">
              <w:rPr>
                <w:rFonts w:ascii="inherit" w:eastAsia="Times New Roman" w:hAnsi="inherit" w:cs="Times New Roman"/>
                <w:color w:val="FF0000"/>
                <w:sz w:val="24"/>
                <w:szCs w:val="24"/>
              </w:rPr>
              <w:t>Limited</w:t>
            </w:r>
            <w:proofErr w:type="spellEnd"/>
            <w:r w:rsidRPr="00E274EE">
              <w:rPr>
                <w:rFonts w:ascii="inherit" w:eastAsia="Times New Roman" w:hAnsi="inherit" w:cs="Times New Roman"/>
                <w:color w:val="FF0000"/>
                <w:sz w:val="24"/>
                <w:szCs w:val="24"/>
              </w:rPr>
              <w:t xml:space="preserve"> şirketlerde, sermayenin en az dörtte üçünü temsil eden paylara sahip bulunmaları şartıyla, tüm ortakların dörtte üçünün oylarıyla,</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 xml:space="preserve">d) Kooperatiflerde, verilen oyların üçte ikisinin çoğunluğuyla; ana sözleşmede ek ödeme ve başka edim yükümlülükleri ya da sınırsız sorumluluk kabul edilmiş veya bunlar mevcut olup da genişletilmişse kooperatife kayıtlı tüm ortakların dörtte üçünün </w:t>
            </w:r>
            <w:proofErr w:type="gramStart"/>
            <w:r w:rsidRPr="00E274EE">
              <w:rPr>
                <w:rFonts w:ascii="inherit" w:eastAsia="Times New Roman" w:hAnsi="inherit" w:cs="Times New Roman"/>
                <w:color w:val="FF0000"/>
                <w:sz w:val="24"/>
                <w:szCs w:val="24"/>
              </w:rPr>
              <w:t>kararıyla,onaylanmalıdır</w:t>
            </w:r>
            <w:proofErr w:type="gramEnd"/>
            <w:r w:rsidRPr="00E274EE">
              <w:rPr>
                <w:rFonts w:ascii="inherit" w:eastAsia="Times New Roman" w:hAnsi="inherit" w:cs="Times New Roman"/>
                <w:color w:val="FF0000"/>
                <w:sz w:val="24"/>
                <w:szCs w:val="24"/>
              </w:rPr>
              <w:t>.</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333333"/>
                <w:sz w:val="24"/>
                <w:szCs w:val="24"/>
              </w:rPr>
              <w:t xml:space="preserve">(2) </w:t>
            </w:r>
            <w:proofErr w:type="spellStart"/>
            <w:r w:rsidRPr="00E274EE">
              <w:rPr>
                <w:rFonts w:ascii="inherit" w:eastAsia="Times New Roman" w:hAnsi="inherit" w:cs="Times New Roman"/>
                <w:color w:val="333333"/>
                <w:sz w:val="24"/>
                <w:szCs w:val="24"/>
              </w:rPr>
              <w:t>Kollektif</w:t>
            </w:r>
            <w:proofErr w:type="spellEnd"/>
            <w:r w:rsidRPr="00E274EE">
              <w:rPr>
                <w:rFonts w:ascii="inherit" w:eastAsia="Times New Roman" w:hAnsi="inherit" w:cs="Times New Roman"/>
                <w:color w:val="333333"/>
                <w:sz w:val="24"/>
                <w:szCs w:val="24"/>
              </w:rPr>
              <w:t xml:space="preserve"> ve komandit şirketlerde birleşme sözleşmesinin oybirliğiyle onaylanması gerekir. Ancak, şirket sözleşmesinde birleşme sözleşmesinin bütün ortakların dörtte üçünün kararıyla onaylanması öngörülebilir.</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 xml:space="preserve">(3) Bir sermayesi paylara bölünmüş komandit şirketin, başka bir şirketi devralması halinde, birinci fıkranın (a) bendindeki nisaba ek olarak, </w:t>
            </w:r>
            <w:proofErr w:type="spellStart"/>
            <w:r w:rsidRPr="00E274EE">
              <w:rPr>
                <w:rFonts w:ascii="inherit" w:eastAsia="Times New Roman" w:hAnsi="inherit" w:cs="Times New Roman"/>
                <w:color w:val="FF0000"/>
                <w:sz w:val="24"/>
                <w:szCs w:val="24"/>
              </w:rPr>
              <w:t>komanditelerin</w:t>
            </w:r>
            <w:proofErr w:type="spellEnd"/>
            <w:r w:rsidRPr="00E274EE">
              <w:rPr>
                <w:rFonts w:ascii="inherit" w:eastAsia="Times New Roman" w:hAnsi="inherit" w:cs="Times New Roman"/>
                <w:color w:val="FF0000"/>
                <w:sz w:val="24"/>
                <w:szCs w:val="24"/>
              </w:rPr>
              <w:t xml:space="preserve"> tamamının birleşmeyi yazılı olarak onaylamaları gereklidir.</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 xml:space="preserve">(4) Bir </w:t>
            </w:r>
            <w:proofErr w:type="spellStart"/>
            <w:r w:rsidRPr="00E274EE">
              <w:rPr>
                <w:rFonts w:ascii="inherit" w:eastAsia="Times New Roman" w:hAnsi="inherit" w:cs="Times New Roman"/>
                <w:color w:val="FF0000"/>
                <w:sz w:val="24"/>
                <w:szCs w:val="24"/>
              </w:rPr>
              <w:t>limited</w:t>
            </w:r>
            <w:proofErr w:type="spellEnd"/>
            <w:r w:rsidRPr="00E274EE">
              <w:rPr>
                <w:rFonts w:ascii="inherit" w:eastAsia="Times New Roman" w:hAnsi="inherit" w:cs="Times New Roman"/>
                <w:color w:val="FF0000"/>
                <w:sz w:val="24"/>
                <w:szCs w:val="24"/>
              </w:rPr>
              <w:t xml:space="preserve">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333333"/>
                <w:sz w:val="24"/>
                <w:szCs w:val="24"/>
              </w:rPr>
              <w:t xml:space="preserve">(5) Birleşme sözleşmesi bir ayrılma akçesini öngörüyorsa bunun, devreden şirket şahıs şirketiyse oy hakkını haiz ortaklarının, sermaye şirketiyse şirkette mevcut oy haklarının yüzde doksanının olumlu oylarıyla </w:t>
            </w:r>
            <w:r w:rsidRPr="00E274EE">
              <w:rPr>
                <w:rFonts w:ascii="inherit" w:eastAsia="Times New Roman" w:hAnsi="inherit" w:cs="Times New Roman"/>
                <w:color w:val="333333"/>
                <w:sz w:val="24"/>
                <w:szCs w:val="24"/>
              </w:rPr>
              <w:lastRenderedPageBreak/>
              <w:t>onaylanması şarttır.</w:t>
            </w:r>
          </w:p>
          <w:p w:rsidR="00E274EE" w:rsidRPr="00E274EE" w:rsidRDefault="00E274EE" w:rsidP="00E274EE">
            <w:pPr>
              <w:spacing w:before="100" w:beforeAutospacing="1" w:after="100" w:afterAutospacing="1" w:line="240" w:lineRule="auto"/>
              <w:rPr>
                <w:rFonts w:ascii="inherit" w:eastAsia="Times New Roman" w:hAnsi="inherit" w:cs="Times New Roman"/>
                <w:color w:val="333333"/>
                <w:sz w:val="24"/>
                <w:szCs w:val="24"/>
              </w:rPr>
            </w:pPr>
            <w:r w:rsidRPr="00E274EE">
              <w:rPr>
                <w:rFonts w:ascii="inherit" w:eastAsia="Times New Roman" w:hAnsi="inherit" w:cs="Times New Roman"/>
                <w:color w:val="FF0000"/>
                <w:sz w:val="24"/>
                <w:szCs w:val="24"/>
              </w:rPr>
              <w:t>(6) Birleşme sözleşmesinde devrolunan şirketin işletme konusunda değişiklik öngörülmüşse, birleşme sözleşmesinin ayrıca, şirket sözleşmesinin değiştirilmesi için gerekli nisapla onaylanmış olması zorunludur.</w:t>
            </w:r>
          </w:p>
        </w:tc>
      </w:tr>
    </w:tbl>
    <w:p w:rsidR="00D52C0F" w:rsidRDefault="00D52C0F"/>
    <w:sectPr w:rsidR="00D52C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274EE"/>
    <w:rsid w:val="00D52C0F"/>
    <w:rsid w:val="00E274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74E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274EE"/>
    <w:rPr>
      <w:b/>
      <w:bCs/>
    </w:rPr>
  </w:style>
  <w:style w:type="character" w:customStyle="1" w:styleId="apple-converted-space">
    <w:name w:val="apple-converted-space"/>
    <w:basedOn w:val="VarsaylanParagrafYazTipi"/>
    <w:rsid w:val="00E274EE"/>
  </w:style>
</w:styles>
</file>

<file path=word/webSettings.xml><?xml version="1.0" encoding="utf-8"?>
<w:webSettings xmlns:r="http://schemas.openxmlformats.org/officeDocument/2006/relationships" xmlns:w="http://schemas.openxmlformats.org/wordprocessingml/2006/main">
  <w:divs>
    <w:div w:id="2887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2487</Characters>
  <Application>Microsoft Office Word</Application>
  <DocSecurity>0</DocSecurity>
  <Lines>20</Lines>
  <Paragraphs>5</Paragraphs>
  <ScaleCrop>false</ScaleCrop>
  <Company>Hewlett-Packard Company</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2</cp:revision>
  <dcterms:created xsi:type="dcterms:W3CDTF">2017-06-20T12:30:00Z</dcterms:created>
  <dcterms:modified xsi:type="dcterms:W3CDTF">2017-06-20T12:32:00Z</dcterms:modified>
</cp:coreProperties>
</file>