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F5" w:rsidRPr="00945EF5" w:rsidRDefault="00945EF5" w:rsidP="00945EF5">
      <w:pPr>
        <w:jc w:val="both"/>
        <w:rPr>
          <w:rFonts w:cstheme="minorHAnsi"/>
          <w:b/>
          <w:spacing w:val="-4"/>
          <w:sz w:val="24"/>
          <w:szCs w:val="24"/>
          <w:u w:val="single"/>
        </w:rPr>
      </w:pPr>
      <w:r w:rsidRPr="00945EF5">
        <w:rPr>
          <w:rFonts w:cstheme="minorHAnsi"/>
          <w:b/>
          <w:sz w:val="24"/>
          <w:szCs w:val="24"/>
          <w:u w:val="single"/>
        </w:rPr>
        <w:t>Avrupa</w:t>
      </w:r>
      <w:r w:rsidRPr="00945EF5">
        <w:rPr>
          <w:rFonts w:cstheme="minorHAnsi"/>
          <w:b/>
          <w:spacing w:val="-4"/>
          <w:sz w:val="24"/>
          <w:szCs w:val="24"/>
          <w:u w:val="single"/>
        </w:rPr>
        <w:t xml:space="preserve"> </w:t>
      </w:r>
      <w:r w:rsidRPr="00945EF5">
        <w:rPr>
          <w:rFonts w:cstheme="minorHAnsi"/>
          <w:b/>
          <w:sz w:val="24"/>
          <w:szCs w:val="24"/>
          <w:u w:val="single"/>
        </w:rPr>
        <w:t>Kimyasallar</w:t>
      </w:r>
      <w:r w:rsidRPr="00945EF5">
        <w:rPr>
          <w:rFonts w:cstheme="minorHAnsi"/>
          <w:b/>
          <w:spacing w:val="-3"/>
          <w:sz w:val="24"/>
          <w:szCs w:val="24"/>
          <w:u w:val="single"/>
        </w:rPr>
        <w:t xml:space="preserve"> </w:t>
      </w:r>
      <w:r w:rsidRPr="00945EF5">
        <w:rPr>
          <w:rFonts w:cstheme="minorHAnsi"/>
          <w:b/>
          <w:sz w:val="24"/>
          <w:szCs w:val="24"/>
          <w:u w:val="single"/>
        </w:rPr>
        <w:t>Ajansı</w:t>
      </w:r>
      <w:r w:rsidRPr="00945EF5">
        <w:rPr>
          <w:rFonts w:cstheme="minorHAnsi"/>
          <w:b/>
          <w:spacing w:val="-2"/>
          <w:sz w:val="24"/>
          <w:szCs w:val="24"/>
          <w:u w:val="single"/>
        </w:rPr>
        <w:t xml:space="preserve"> Gündemi</w:t>
      </w:r>
      <w:r w:rsidRPr="00945EF5">
        <w:rPr>
          <w:rFonts w:cstheme="minorHAnsi"/>
          <w:b/>
          <w:spacing w:val="-4"/>
          <w:sz w:val="24"/>
          <w:szCs w:val="24"/>
          <w:u w:val="single"/>
        </w:rPr>
        <w:t xml:space="preserve"> </w:t>
      </w: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spacing w:val="-4"/>
          <w:sz w:val="24"/>
          <w:szCs w:val="24"/>
        </w:rPr>
        <w:t xml:space="preserve">T.C. </w:t>
      </w:r>
      <w:r w:rsidRPr="00945EF5">
        <w:rPr>
          <w:rFonts w:cstheme="minorHAnsi"/>
          <w:sz w:val="24"/>
          <w:szCs w:val="24"/>
        </w:rPr>
        <w:t>Ticaret</w:t>
      </w:r>
      <w:r w:rsidRPr="00945EF5">
        <w:rPr>
          <w:rFonts w:cstheme="minorHAnsi"/>
          <w:spacing w:val="-1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Bakanlığı Uluslararası</w:t>
      </w:r>
      <w:r w:rsidRPr="00945EF5">
        <w:rPr>
          <w:rFonts w:cstheme="minorHAnsi"/>
          <w:spacing w:val="-6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Anlaşmalar</w:t>
      </w:r>
      <w:r w:rsidRPr="00945EF5">
        <w:rPr>
          <w:rFonts w:cstheme="minorHAnsi"/>
          <w:spacing w:val="-7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</w:t>
      </w:r>
      <w:r w:rsidRPr="00945EF5">
        <w:rPr>
          <w:rFonts w:cstheme="minorHAnsi"/>
          <w:sz w:val="24"/>
          <w:szCs w:val="24"/>
        </w:rPr>
        <w:t>e</w:t>
      </w:r>
      <w:r w:rsidRPr="00945EF5">
        <w:rPr>
          <w:rFonts w:cstheme="minorHAnsi"/>
          <w:spacing w:val="-8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Avrupa</w:t>
      </w:r>
      <w:r w:rsidRPr="00945EF5">
        <w:rPr>
          <w:rFonts w:cstheme="minorHAnsi"/>
          <w:spacing w:val="-7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Birliği</w:t>
      </w:r>
      <w:r w:rsidRPr="00945EF5">
        <w:rPr>
          <w:rFonts w:cstheme="minorHAnsi"/>
          <w:spacing w:val="-6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Genel</w:t>
      </w:r>
      <w:r w:rsidRPr="00945EF5">
        <w:rPr>
          <w:rFonts w:cstheme="minorHAnsi"/>
          <w:spacing w:val="-7"/>
          <w:sz w:val="24"/>
          <w:szCs w:val="24"/>
        </w:rPr>
        <w:t xml:space="preserve"> </w:t>
      </w:r>
      <w:r>
        <w:rPr>
          <w:rFonts w:cstheme="minorHAnsi"/>
          <w:spacing w:val="-2"/>
          <w:sz w:val="24"/>
          <w:szCs w:val="24"/>
        </w:rPr>
        <w:t>Müdürlüğü’</w:t>
      </w:r>
      <w:r w:rsidRPr="00945EF5">
        <w:rPr>
          <w:rFonts w:cstheme="minorHAnsi"/>
          <w:spacing w:val="-2"/>
          <w:sz w:val="24"/>
          <w:szCs w:val="24"/>
        </w:rPr>
        <w:t xml:space="preserve">nün </w:t>
      </w:r>
      <w:proofErr w:type="spellStart"/>
      <w:r w:rsidRPr="00945EF5">
        <w:rPr>
          <w:rFonts w:cstheme="minorHAnsi"/>
          <w:spacing w:val="-2"/>
          <w:sz w:val="24"/>
          <w:szCs w:val="24"/>
        </w:rPr>
        <w:t>bila</w:t>
      </w:r>
      <w:proofErr w:type="spellEnd"/>
      <w:r w:rsidRPr="00945EF5">
        <w:rPr>
          <w:rFonts w:cstheme="minorHAnsi"/>
          <w:spacing w:val="-2"/>
          <w:sz w:val="24"/>
          <w:szCs w:val="24"/>
        </w:rPr>
        <w:t xml:space="preserve"> tarihli </w:t>
      </w:r>
      <w:r w:rsidRPr="00945EF5">
        <w:rPr>
          <w:rFonts w:cstheme="minorHAnsi"/>
          <w:sz w:val="24"/>
          <w:szCs w:val="24"/>
        </w:rPr>
        <w:t>E-79668890-749-</w:t>
      </w:r>
      <w:r w:rsidRPr="00945EF5">
        <w:rPr>
          <w:rFonts w:cstheme="minorHAnsi"/>
          <w:spacing w:val="-2"/>
          <w:sz w:val="24"/>
          <w:szCs w:val="24"/>
        </w:rPr>
        <w:t>00116046410 sayılı yazısında</w:t>
      </w:r>
      <w:r>
        <w:rPr>
          <w:rFonts w:cstheme="minorHAnsi"/>
          <w:spacing w:val="-2"/>
          <w:sz w:val="24"/>
          <w:szCs w:val="24"/>
        </w:rPr>
        <w:t xml:space="preserve"> özetle</w:t>
      </w:r>
      <w:r w:rsidRPr="00945EF5">
        <w:rPr>
          <w:rFonts w:cstheme="minorHAnsi"/>
          <w:spacing w:val="-2"/>
          <w:sz w:val="24"/>
          <w:szCs w:val="24"/>
        </w:rPr>
        <w:t>;</w:t>
      </w: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b/>
          <w:sz w:val="24"/>
          <w:szCs w:val="24"/>
        </w:rPr>
        <w:t>1)</w:t>
      </w:r>
      <w:r w:rsidRPr="00945EF5">
        <w:rPr>
          <w:rFonts w:cstheme="minorHAnsi"/>
          <w:sz w:val="24"/>
          <w:szCs w:val="24"/>
        </w:rPr>
        <w:t>Avrupa Kimyasallar Ajansı (AKA) tarafından 5 Kasım 2025 tarihinde yapılan açıklamada, Aday Liste’ye çok yüksek önem arz eden maddeler (</w:t>
      </w:r>
      <w:proofErr w:type="spellStart"/>
      <w:r w:rsidRPr="00945EF5">
        <w:rPr>
          <w:rFonts w:cstheme="minorHAnsi"/>
          <w:sz w:val="24"/>
          <w:szCs w:val="24"/>
        </w:rPr>
        <w:t>substances</w:t>
      </w:r>
      <w:proofErr w:type="spellEnd"/>
      <w:r w:rsidRPr="00945EF5">
        <w:rPr>
          <w:rFonts w:cstheme="minorHAnsi"/>
          <w:sz w:val="24"/>
          <w:szCs w:val="24"/>
        </w:rPr>
        <w:t xml:space="preserve"> of </w:t>
      </w:r>
      <w:proofErr w:type="spellStart"/>
      <w:r w:rsidRPr="00945EF5">
        <w:rPr>
          <w:rFonts w:cstheme="minorHAnsi"/>
          <w:sz w:val="24"/>
          <w:szCs w:val="24"/>
        </w:rPr>
        <w:t>very</w:t>
      </w:r>
      <w:proofErr w:type="spellEnd"/>
      <w:r w:rsidRPr="00945EF5">
        <w:rPr>
          <w:rFonts w:cstheme="minorHAnsi"/>
          <w:sz w:val="24"/>
          <w:szCs w:val="24"/>
        </w:rPr>
        <w:t xml:space="preserve"> </w:t>
      </w:r>
      <w:proofErr w:type="spellStart"/>
      <w:r w:rsidRPr="00945EF5">
        <w:rPr>
          <w:rFonts w:cstheme="minorHAnsi"/>
          <w:sz w:val="24"/>
          <w:szCs w:val="24"/>
        </w:rPr>
        <w:t>high</w:t>
      </w:r>
      <w:proofErr w:type="spellEnd"/>
      <w:r w:rsidRPr="00945EF5">
        <w:rPr>
          <w:rFonts w:cstheme="minorHAnsi"/>
          <w:sz w:val="24"/>
          <w:szCs w:val="24"/>
        </w:rPr>
        <w:t xml:space="preserve"> </w:t>
      </w:r>
      <w:proofErr w:type="spellStart"/>
      <w:r w:rsidRPr="00945EF5">
        <w:rPr>
          <w:rFonts w:cstheme="minorHAnsi"/>
          <w:sz w:val="24"/>
          <w:szCs w:val="24"/>
        </w:rPr>
        <w:t>concern</w:t>
      </w:r>
      <w:proofErr w:type="spellEnd"/>
      <w:r w:rsidRPr="00945EF5">
        <w:rPr>
          <w:rFonts w:cstheme="minorHAnsi"/>
          <w:sz w:val="24"/>
          <w:szCs w:val="24"/>
        </w:rPr>
        <w:t>-SVHC) kapsamında yeni bir madde eklendiği duyurulmuştur. Bu kapsamda, “ 1,1'- (ethane-1,2-diyl)</w:t>
      </w:r>
      <w:proofErr w:type="spellStart"/>
      <w:r w:rsidRPr="00945EF5">
        <w:rPr>
          <w:rFonts w:cstheme="minorHAnsi"/>
          <w:sz w:val="24"/>
          <w:szCs w:val="24"/>
        </w:rPr>
        <w:t>bis</w:t>
      </w:r>
      <w:proofErr w:type="spellEnd"/>
      <w:r w:rsidRPr="00945EF5">
        <w:rPr>
          <w:rFonts w:cstheme="minorHAnsi"/>
          <w:sz w:val="24"/>
          <w:szCs w:val="24"/>
        </w:rPr>
        <w:t>[</w:t>
      </w:r>
      <w:proofErr w:type="spellStart"/>
      <w:r w:rsidRPr="00945EF5">
        <w:rPr>
          <w:rFonts w:cstheme="minorHAnsi"/>
          <w:sz w:val="24"/>
          <w:szCs w:val="24"/>
        </w:rPr>
        <w:t>pentabromobenzene</w:t>
      </w:r>
      <w:proofErr w:type="spellEnd"/>
      <w:r w:rsidRPr="00945EF5">
        <w:rPr>
          <w:rFonts w:cstheme="minorHAnsi"/>
          <w:sz w:val="24"/>
          <w:szCs w:val="24"/>
        </w:rPr>
        <w:t xml:space="preserve">] (DBDPE)” maddesinin listeye eklenmesi onaylanmıştır. </w:t>
      </w:r>
      <w:proofErr w:type="spellStart"/>
      <w:r w:rsidRPr="00945EF5">
        <w:rPr>
          <w:rFonts w:cstheme="minorHAnsi"/>
          <w:sz w:val="24"/>
          <w:szCs w:val="24"/>
        </w:rPr>
        <w:t>Biyobirikim</w:t>
      </w:r>
      <w:proofErr w:type="spellEnd"/>
      <w:r w:rsidRPr="00945EF5">
        <w:rPr>
          <w:rFonts w:cstheme="minorHAnsi"/>
          <w:sz w:val="24"/>
          <w:szCs w:val="24"/>
        </w:rPr>
        <w:t xml:space="preserve"> potansiyeli yüksek olduğu bilinen söz konusu madde, çeşitli sektörlerde alev geciktirici olarak kullanılmaktadır.</w:t>
      </w: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sz w:val="24"/>
          <w:szCs w:val="24"/>
        </w:rPr>
        <w:t xml:space="preserve">AKA Aday Liste’de </w:t>
      </w:r>
      <w:proofErr w:type="gramStart"/>
      <w:r w:rsidRPr="00945EF5">
        <w:rPr>
          <w:rFonts w:cstheme="minorHAnsi"/>
          <w:sz w:val="24"/>
          <w:szCs w:val="24"/>
        </w:rPr>
        <w:t>halihazırda</w:t>
      </w:r>
      <w:proofErr w:type="gramEnd"/>
      <w:r w:rsidRPr="00945EF5">
        <w:rPr>
          <w:rFonts w:cstheme="minorHAnsi"/>
          <w:sz w:val="24"/>
          <w:szCs w:val="24"/>
        </w:rPr>
        <w:t xml:space="preserve"> 251 madde yer almakla birlikte, bazıları kimyasal gruplar olduğu için, etkilenen toplam kimyasal sayısının daha fazla olduğu; Aday Listesindeki ürünlerin daha sonra İzin Listesine (</w:t>
      </w:r>
      <w:proofErr w:type="spellStart"/>
      <w:r w:rsidRPr="00945EF5">
        <w:rPr>
          <w:rFonts w:cstheme="minorHAnsi"/>
          <w:sz w:val="24"/>
          <w:szCs w:val="24"/>
        </w:rPr>
        <w:t>Authorisation</w:t>
      </w:r>
      <w:proofErr w:type="spellEnd"/>
      <w:r w:rsidRPr="00945EF5">
        <w:rPr>
          <w:rFonts w:cstheme="minorHAnsi"/>
          <w:sz w:val="24"/>
          <w:szCs w:val="24"/>
        </w:rPr>
        <w:t xml:space="preserve"> </w:t>
      </w:r>
      <w:proofErr w:type="spellStart"/>
      <w:r w:rsidRPr="00945EF5">
        <w:rPr>
          <w:rFonts w:cstheme="minorHAnsi"/>
          <w:sz w:val="24"/>
          <w:szCs w:val="24"/>
        </w:rPr>
        <w:t>List</w:t>
      </w:r>
      <w:proofErr w:type="spellEnd"/>
      <w:r w:rsidRPr="00945EF5">
        <w:rPr>
          <w:rFonts w:cstheme="minorHAnsi"/>
          <w:sz w:val="24"/>
          <w:szCs w:val="24"/>
        </w:rPr>
        <w:t>) alınabildiği; İzin Listesindeki maddelerin, firmaların izin başvurusu yapması ve Avrupa Komisyonu’nun onayından sonra kullanılabildiği açıklanmıştır.</w:t>
      </w: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proofErr w:type="gramStart"/>
      <w:r w:rsidRPr="00945EF5">
        <w:rPr>
          <w:rFonts w:cstheme="minorHAnsi"/>
          <w:sz w:val="24"/>
          <w:szCs w:val="24"/>
        </w:rPr>
        <w:t xml:space="preserve">Yapılan açıklamada, devamla, REACH Tüzüğü kapsamında, bir eşya, ağırlıkça %0,1’in üzerinde Aday Liste maddesi içeriyorsa, ilgili firmanın/tedarikçilerin müşterilere ve tüketicilere bu maddenin güvenli kullanımı hakkında bilgi vermek zorunda olduğu; Aday Liste’ye alınmış bir maddeyi içeren bir eşya üreten veya ithal eden şirketlerin, maddenin listeye alınmasından itibaren altı ay içinde </w:t>
      </w:r>
      <w:proofErr w:type="spellStart"/>
      <w:r w:rsidRPr="00945EF5">
        <w:rPr>
          <w:rFonts w:cstheme="minorHAnsi"/>
          <w:sz w:val="24"/>
          <w:szCs w:val="24"/>
        </w:rPr>
        <w:t>AKA’ya</w:t>
      </w:r>
      <w:proofErr w:type="spellEnd"/>
      <w:r w:rsidRPr="00945EF5">
        <w:rPr>
          <w:rFonts w:cstheme="minorHAnsi"/>
          <w:sz w:val="24"/>
          <w:szCs w:val="24"/>
        </w:rPr>
        <w:t xml:space="preserve"> bildirimde bulunmak zorunda olduğu; </w:t>
      </w:r>
      <w:proofErr w:type="spellStart"/>
      <w:r w:rsidRPr="00945EF5">
        <w:rPr>
          <w:rFonts w:cstheme="minorHAnsi"/>
          <w:sz w:val="24"/>
          <w:szCs w:val="24"/>
        </w:rPr>
        <w:t>bahsekonu</w:t>
      </w:r>
      <w:proofErr w:type="spellEnd"/>
      <w:r w:rsidRPr="00945EF5">
        <w:rPr>
          <w:rFonts w:cstheme="minorHAnsi"/>
          <w:sz w:val="24"/>
          <w:szCs w:val="24"/>
        </w:rPr>
        <w:t xml:space="preserve"> maddeleri tek başına veya karışım içinde piyasaya</w:t>
      </w:r>
      <w:r w:rsidRPr="00945EF5">
        <w:rPr>
          <w:rFonts w:cstheme="minorHAnsi"/>
          <w:spacing w:val="80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süren AB ve AEA tedarikçilerinin, müşterilerine verdikleri güvenlik bilgi formlarını güncellemekle yükümlü</w:t>
      </w:r>
      <w:r w:rsidRPr="00945EF5">
        <w:rPr>
          <w:rFonts w:cstheme="minorHAnsi"/>
          <w:spacing w:val="3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olduğu;</w:t>
      </w:r>
      <w:r w:rsidRPr="00945EF5">
        <w:rPr>
          <w:rFonts w:cstheme="minorHAnsi"/>
          <w:spacing w:val="36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Atık</w:t>
      </w:r>
      <w:r w:rsidRPr="00945EF5">
        <w:rPr>
          <w:rFonts w:cstheme="minorHAnsi"/>
          <w:spacing w:val="3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Çerçeve</w:t>
      </w:r>
      <w:r w:rsidRPr="00945EF5">
        <w:rPr>
          <w:rFonts w:cstheme="minorHAnsi"/>
          <w:spacing w:val="36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Direktifi</w:t>
      </w:r>
      <w:r w:rsidRPr="00945EF5">
        <w:rPr>
          <w:rFonts w:cstheme="minorHAnsi"/>
          <w:spacing w:val="36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kapsamında,</w:t>
      </w:r>
      <w:r w:rsidRPr="00945EF5">
        <w:rPr>
          <w:rFonts w:cstheme="minorHAnsi"/>
          <w:spacing w:val="3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şirketlerin</w:t>
      </w:r>
      <w:r w:rsidRPr="00945EF5">
        <w:rPr>
          <w:rFonts w:cstheme="minorHAnsi"/>
          <w:spacing w:val="3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ürettikleri</w:t>
      </w:r>
      <w:r w:rsidRPr="00945EF5">
        <w:rPr>
          <w:rFonts w:cstheme="minorHAnsi"/>
          <w:spacing w:val="37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ürünlerde</w:t>
      </w:r>
      <w:r w:rsidRPr="00945EF5">
        <w:rPr>
          <w:rFonts w:cstheme="minorHAnsi"/>
          <w:spacing w:val="36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SVHC</w:t>
      </w:r>
      <w:r w:rsidRPr="00945EF5">
        <w:rPr>
          <w:rFonts w:cstheme="minorHAnsi"/>
          <w:spacing w:val="3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maddeler</w:t>
      </w:r>
      <w:proofErr w:type="gramEnd"/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sz w:val="24"/>
          <w:szCs w:val="24"/>
        </w:rPr>
        <w:t xml:space="preserve">%0,1’in üzerinde bir oranda bulunuyorsa, bunu da </w:t>
      </w:r>
      <w:proofErr w:type="spellStart"/>
      <w:r w:rsidRPr="00945EF5">
        <w:rPr>
          <w:rFonts w:cstheme="minorHAnsi"/>
          <w:sz w:val="24"/>
          <w:szCs w:val="24"/>
        </w:rPr>
        <w:t>AKA’ya</w:t>
      </w:r>
      <w:proofErr w:type="spellEnd"/>
      <w:r w:rsidRPr="00945EF5">
        <w:rPr>
          <w:rFonts w:cstheme="minorHAnsi"/>
          <w:sz w:val="24"/>
          <w:szCs w:val="24"/>
        </w:rPr>
        <w:t xml:space="preserve"> bildirmek zorunda olduğu ve bu bildirimlerin AKA zararlı maddeler </w:t>
      </w:r>
      <w:proofErr w:type="spellStart"/>
      <w:r w:rsidRPr="00945EF5">
        <w:rPr>
          <w:rFonts w:cstheme="minorHAnsi"/>
          <w:sz w:val="24"/>
          <w:szCs w:val="24"/>
        </w:rPr>
        <w:t>veritabanında</w:t>
      </w:r>
      <w:proofErr w:type="spellEnd"/>
      <w:r w:rsidRPr="00945EF5">
        <w:rPr>
          <w:rFonts w:cstheme="minorHAnsi"/>
          <w:sz w:val="24"/>
          <w:szCs w:val="24"/>
        </w:rPr>
        <w:t xml:space="preserve"> yayımlandığı; son olarak, AB </w:t>
      </w:r>
      <w:proofErr w:type="spellStart"/>
      <w:r w:rsidRPr="00945EF5">
        <w:rPr>
          <w:rFonts w:cstheme="minorHAnsi"/>
          <w:sz w:val="24"/>
          <w:szCs w:val="24"/>
        </w:rPr>
        <w:t>Ekoetiket</w:t>
      </w:r>
      <w:proofErr w:type="spellEnd"/>
      <w:r w:rsidRPr="00945EF5">
        <w:rPr>
          <w:rFonts w:cstheme="minorHAnsi"/>
          <w:sz w:val="24"/>
          <w:szCs w:val="24"/>
        </w:rPr>
        <w:t xml:space="preserve"> Tüzüğü kapsamında SVHC içeren ürünlerin eko-etiket edinemediği hususları paylaşılmıştır.</w:t>
      </w:r>
    </w:p>
    <w:p w:rsid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sz w:val="24"/>
          <w:szCs w:val="24"/>
        </w:rPr>
        <w:t>Söz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konusu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açıklamaya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ve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ilgili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maddelerin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listesine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aşağıdaki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bağlantıdan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 xml:space="preserve">ulaşılabilmektedir: </w:t>
      </w: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spacing w:val="-2"/>
          <w:sz w:val="24"/>
          <w:szCs w:val="24"/>
        </w:rPr>
        <w:t>"https://</w:t>
      </w:r>
      <w:proofErr w:type="gramStart"/>
      <w:r w:rsidRPr="00945EF5">
        <w:rPr>
          <w:rFonts w:cstheme="minorHAnsi"/>
          <w:spacing w:val="-2"/>
          <w:sz w:val="24"/>
          <w:szCs w:val="24"/>
        </w:rPr>
        <w:t>echa.europa</w:t>
      </w:r>
      <w:proofErr w:type="gramEnd"/>
      <w:r w:rsidRPr="00945EF5">
        <w:rPr>
          <w:rFonts w:cstheme="minorHAnsi"/>
          <w:spacing w:val="-2"/>
          <w:sz w:val="24"/>
          <w:szCs w:val="24"/>
        </w:rPr>
        <w:t>.eu/fr/-/echa-adds-one-hazardous-chemical-to-the-candidate-list-2"</w:t>
      </w: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b/>
          <w:sz w:val="24"/>
          <w:szCs w:val="24"/>
        </w:rPr>
        <w:t>2)</w:t>
      </w:r>
      <w:r w:rsidRPr="00945EF5">
        <w:rPr>
          <w:rFonts w:cstheme="minorHAnsi"/>
          <w:sz w:val="24"/>
          <w:szCs w:val="24"/>
        </w:rPr>
        <w:t xml:space="preserve"> </w:t>
      </w:r>
      <w:proofErr w:type="spellStart"/>
      <w:r w:rsidRPr="00945EF5">
        <w:rPr>
          <w:rFonts w:cstheme="minorHAnsi"/>
          <w:sz w:val="24"/>
          <w:szCs w:val="24"/>
        </w:rPr>
        <w:t>AKA’nın</w:t>
      </w:r>
      <w:proofErr w:type="spellEnd"/>
      <w:r w:rsidRPr="00945EF5">
        <w:rPr>
          <w:rFonts w:cstheme="minorHAnsi"/>
          <w:sz w:val="24"/>
          <w:szCs w:val="24"/>
        </w:rPr>
        <w:t xml:space="preserve">, </w:t>
      </w:r>
      <w:proofErr w:type="spellStart"/>
      <w:r w:rsidRPr="00945EF5">
        <w:rPr>
          <w:rFonts w:cstheme="minorHAnsi"/>
          <w:sz w:val="24"/>
          <w:szCs w:val="24"/>
        </w:rPr>
        <w:t>Sosyo</w:t>
      </w:r>
      <w:proofErr w:type="spellEnd"/>
      <w:r w:rsidRPr="00945EF5">
        <w:rPr>
          <w:rFonts w:cstheme="minorHAnsi"/>
          <w:sz w:val="24"/>
          <w:szCs w:val="24"/>
        </w:rPr>
        <w:t xml:space="preserve">-Ekonomik Analiz Komitesi’nin (SEAC) “Per- </w:t>
      </w:r>
      <w:proofErr w:type="spellStart"/>
      <w:r w:rsidRPr="00945EF5">
        <w:rPr>
          <w:rFonts w:cstheme="minorHAnsi"/>
          <w:sz w:val="24"/>
          <w:szCs w:val="24"/>
        </w:rPr>
        <w:t>and</w:t>
      </w:r>
      <w:proofErr w:type="spellEnd"/>
      <w:r w:rsidRPr="00945EF5">
        <w:rPr>
          <w:rFonts w:cstheme="minorHAnsi"/>
          <w:sz w:val="24"/>
          <w:szCs w:val="24"/>
        </w:rPr>
        <w:t xml:space="preserve"> </w:t>
      </w:r>
      <w:proofErr w:type="spellStart"/>
      <w:r w:rsidRPr="00945EF5">
        <w:rPr>
          <w:rFonts w:cstheme="minorHAnsi"/>
          <w:sz w:val="24"/>
          <w:szCs w:val="24"/>
        </w:rPr>
        <w:t>polyfluoroalkyl</w:t>
      </w:r>
      <w:proofErr w:type="spellEnd"/>
      <w:r w:rsidRPr="00945EF5">
        <w:rPr>
          <w:rFonts w:cstheme="minorHAnsi"/>
          <w:sz w:val="24"/>
          <w:szCs w:val="24"/>
        </w:rPr>
        <w:t xml:space="preserve"> </w:t>
      </w:r>
      <w:proofErr w:type="spellStart"/>
      <w:r w:rsidRPr="00945EF5">
        <w:rPr>
          <w:rFonts w:cstheme="minorHAnsi"/>
          <w:sz w:val="24"/>
          <w:szCs w:val="24"/>
        </w:rPr>
        <w:t>substances</w:t>
      </w:r>
      <w:proofErr w:type="spellEnd"/>
      <w:r w:rsidRPr="00945EF5">
        <w:rPr>
          <w:rFonts w:cstheme="minorHAnsi"/>
          <w:sz w:val="24"/>
          <w:szCs w:val="24"/>
        </w:rPr>
        <w:t>”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(PFAS)</w:t>
      </w:r>
      <w:r w:rsidRPr="00945EF5">
        <w:rPr>
          <w:rFonts w:cstheme="minorHAnsi"/>
          <w:spacing w:val="-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kısıtlama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önerisine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ilişkin</w:t>
      </w:r>
      <w:r w:rsidRPr="00945EF5">
        <w:rPr>
          <w:rFonts w:cstheme="minorHAnsi"/>
          <w:spacing w:val="-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taslak</w:t>
      </w:r>
      <w:r w:rsidRPr="00945EF5">
        <w:rPr>
          <w:rFonts w:cstheme="minorHAnsi"/>
          <w:spacing w:val="-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görüşüne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yönelik</w:t>
      </w:r>
      <w:r w:rsidRPr="00945EF5">
        <w:rPr>
          <w:rFonts w:cstheme="minorHAnsi"/>
          <w:spacing w:val="-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istişare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sürecinin,</w:t>
      </w:r>
      <w:r w:rsidRPr="00945EF5">
        <w:rPr>
          <w:rFonts w:cstheme="minorHAnsi"/>
          <w:spacing w:val="-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Komite'nin</w:t>
      </w:r>
      <w:r w:rsidRPr="00945EF5">
        <w:rPr>
          <w:rFonts w:cstheme="minorHAnsi"/>
          <w:spacing w:val="-5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Mart 2026’da beklenen mutabakatının hemen ardından başlatılmasının öngörüldüğü açıklanmıştır.</w:t>
      </w: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proofErr w:type="spellStart"/>
      <w:r w:rsidRPr="00945EF5">
        <w:rPr>
          <w:rFonts w:cstheme="minorHAnsi"/>
          <w:sz w:val="24"/>
          <w:szCs w:val="24"/>
        </w:rPr>
        <w:t>Bahsekonu</w:t>
      </w:r>
      <w:proofErr w:type="spellEnd"/>
      <w:r w:rsidRPr="00945EF5">
        <w:rPr>
          <w:rFonts w:cstheme="minorHAnsi"/>
          <w:sz w:val="24"/>
          <w:szCs w:val="24"/>
        </w:rPr>
        <w:t xml:space="preserve"> istişare süreci, SEAC taslak görüşünde ele alınan tüm farklı yönlere ilişkin genel soruların yanı sıra Komite tarafından yürütülen sektör </w:t>
      </w:r>
      <w:proofErr w:type="gramStart"/>
      <w:r w:rsidRPr="00945EF5">
        <w:rPr>
          <w:rFonts w:cstheme="minorHAnsi"/>
          <w:sz w:val="24"/>
          <w:szCs w:val="24"/>
        </w:rPr>
        <w:t>bazlı</w:t>
      </w:r>
      <w:proofErr w:type="gramEnd"/>
      <w:r w:rsidRPr="00945EF5">
        <w:rPr>
          <w:rFonts w:cstheme="minorHAnsi"/>
          <w:sz w:val="24"/>
          <w:szCs w:val="24"/>
        </w:rPr>
        <w:t xml:space="preserve"> değerlendirmelerin her biri için ayrıntılı soruları da içerecek olup, paydaşların kullanım alanlarının hangi </w:t>
      </w:r>
      <w:proofErr w:type="spellStart"/>
      <w:r w:rsidRPr="00945EF5">
        <w:rPr>
          <w:rFonts w:cstheme="minorHAnsi"/>
          <w:sz w:val="24"/>
          <w:szCs w:val="24"/>
        </w:rPr>
        <w:t>sektörel</w:t>
      </w:r>
      <w:proofErr w:type="spellEnd"/>
      <w:r w:rsidRPr="00945EF5">
        <w:rPr>
          <w:rFonts w:cstheme="minorHAnsi"/>
          <w:sz w:val="24"/>
          <w:szCs w:val="24"/>
        </w:rPr>
        <w:t xml:space="preserve"> değerlendirme kapsamında yer aldığını belirlemelerine yardımcı olmak için, ilgili sektörlerin kullanım haritalaması yayımlanmıştır.</w:t>
      </w: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sz w:val="24"/>
          <w:szCs w:val="24"/>
        </w:rPr>
        <w:t xml:space="preserve">Yapılan açıklamada, </w:t>
      </w:r>
      <w:proofErr w:type="spellStart"/>
      <w:r w:rsidRPr="00945EF5">
        <w:rPr>
          <w:rFonts w:cstheme="minorHAnsi"/>
          <w:sz w:val="24"/>
          <w:szCs w:val="24"/>
        </w:rPr>
        <w:t>SEAC’in</w:t>
      </w:r>
      <w:proofErr w:type="spellEnd"/>
      <w:r w:rsidRPr="00945EF5">
        <w:rPr>
          <w:rFonts w:cstheme="minorHAnsi"/>
          <w:sz w:val="24"/>
          <w:szCs w:val="24"/>
        </w:rPr>
        <w:t xml:space="preserve"> PFAS kısıtlama taslak görüşüne yönelik istişare sürecinde, 14 sektör ve PFAS üretimi için </w:t>
      </w:r>
      <w:proofErr w:type="gramStart"/>
      <w:r w:rsidRPr="00945EF5">
        <w:rPr>
          <w:rFonts w:cstheme="minorHAnsi"/>
          <w:sz w:val="24"/>
          <w:szCs w:val="24"/>
        </w:rPr>
        <w:t>spesifik</w:t>
      </w:r>
      <w:proofErr w:type="gramEnd"/>
      <w:r w:rsidRPr="00945EF5">
        <w:rPr>
          <w:rFonts w:cstheme="minorHAnsi"/>
          <w:sz w:val="24"/>
          <w:szCs w:val="24"/>
        </w:rPr>
        <w:t xml:space="preserve"> sorular yer almaktadır. </w:t>
      </w:r>
      <w:proofErr w:type="gramStart"/>
      <w:r w:rsidRPr="00945EF5">
        <w:rPr>
          <w:rFonts w:cstheme="minorHAnsi"/>
          <w:sz w:val="24"/>
          <w:szCs w:val="24"/>
        </w:rPr>
        <w:t>Halihazırda</w:t>
      </w:r>
      <w:proofErr w:type="gramEnd"/>
      <w:r w:rsidRPr="00945EF5">
        <w:rPr>
          <w:rFonts w:cstheme="minorHAnsi"/>
          <w:sz w:val="24"/>
          <w:szCs w:val="24"/>
        </w:rPr>
        <w:t xml:space="preserve">, </w:t>
      </w:r>
      <w:proofErr w:type="spellStart"/>
      <w:r w:rsidRPr="00945EF5">
        <w:rPr>
          <w:rFonts w:cstheme="minorHAnsi"/>
          <w:sz w:val="24"/>
          <w:szCs w:val="24"/>
        </w:rPr>
        <w:t>SEAC’ın</w:t>
      </w:r>
      <w:proofErr w:type="spellEnd"/>
      <w:r w:rsidRPr="00945EF5">
        <w:rPr>
          <w:rFonts w:cstheme="minorHAnsi"/>
          <w:sz w:val="24"/>
          <w:szCs w:val="24"/>
        </w:rPr>
        <w:t>, 13 sektörde geçici mutabakata vardığı, elektronik ve yarı iletken sektörü ile PFAS üretimine ilişkin mutabakatın Aralık 2025’te sağlanmasının beklendiği, bunun ardından kull</w:t>
      </w:r>
      <w:r>
        <w:rPr>
          <w:rFonts w:cstheme="minorHAnsi"/>
          <w:sz w:val="24"/>
          <w:szCs w:val="24"/>
        </w:rPr>
        <w:t>anım haritasının güncellenmiş ha</w:t>
      </w:r>
      <w:r w:rsidRPr="00945EF5">
        <w:rPr>
          <w:rFonts w:cstheme="minorHAnsi"/>
          <w:sz w:val="24"/>
          <w:szCs w:val="24"/>
        </w:rPr>
        <w:t>linin yayımlanacağı ifade edilmektedir.</w:t>
      </w: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sz w:val="24"/>
          <w:szCs w:val="24"/>
        </w:rPr>
        <w:lastRenderedPageBreak/>
        <w:t>Söz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konusu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belgeye,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aşağıdaki</w:t>
      </w:r>
      <w:r w:rsidRPr="00945EF5">
        <w:rPr>
          <w:rFonts w:cstheme="minorHAnsi"/>
          <w:spacing w:val="-2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bağlantıdan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ulaşılması</w:t>
      </w:r>
      <w:r w:rsidRPr="00945EF5">
        <w:rPr>
          <w:rFonts w:cstheme="minorHAnsi"/>
          <w:spacing w:val="-2"/>
          <w:sz w:val="24"/>
          <w:szCs w:val="24"/>
        </w:rPr>
        <w:t xml:space="preserve"> mümkündür:</w:t>
      </w: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spacing w:val="-2"/>
          <w:sz w:val="24"/>
          <w:szCs w:val="24"/>
        </w:rPr>
        <w:t>"</w:t>
      </w:r>
      <w:r w:rsidRPr="00945EF5">
        <w:rPr>
          <w:rFonts w:cstheme="minorHAnsi"/>
          <w:spacing w:val="-2"/>
          <w:sz w:val="24"/>
          <w:szCs w:val="24"/>
          <w:u w:val="single"/>
        </w:rPr>
        <w:t>https://</w:t>
      </w:r>
      <w:proofErr w:type="gramStart"/>
      <w:r w:rsidRPr="00945EF5">
        <w:rPr>
          <w:rFonts w:cstheme="minorHAnsi"/>
          <w:spacing w:val="-2"/>
          <w:sz w:val="24"/>
          <w:szCs w:val="24"/>
          <w:u w:val="single"/>
        </w:rPr>
        <w:t>echa.europa</w:t>
      </w:r>
      <w:proofErr w:type="gramEnd"/>
      <w:r w:rsidRPr="00945EF5">
        <w:rPr>
          <w:rFonts w:cstheme="minorHAnsi"/>
          <w:spacing w:val="-2"/>
          <w:sz w:val="24"/>
          <w:szCs w:val="24"/>
          <w:u w:val="single"/>
        </w:rPr>
        <w:t>.eu/documents/10162/111425157/draft_use_mapping_pfas_en.pdf/7e36c9e4-6d41-ee</w:t>
      </w:r>
      <w:r w:rsidRPr="00945EF5">
        <w:rPr>
          <w:rFonts w:cstheme="minorHAnsi"/>
          <w:spacing w:val="-2"/>
          <w:sz w:val="24"/>
          <w:szCs w:val="24"/>
        </w:rPr>
        <w:t xml:space="preserve"> </w:t>
      </w:r>
      <w:r w:rsidRPr="00945EF5">
        <w:rPr>
          <w:rFonts w:cstheme="minorHAnsi"/>
          <w:spacing w:val="-2"/>
          <w:sz w:val="24"/>
          <w:szCs w:val="24"/>
          <w:u w:val="single"/>
        </w:rPr>
        <w:t>24-e8e6-f2f2f6a1483d#msdynmkt_trackingcontext=a24deb3b-e4e1-43e0-83ee-d4259b770200</w:t>
      </w:r>
      <w:r w:rsidRPr="00945EF5">
        <w:rPr>
          <w:rFonts w:cstheme="minorHAnsi"/>
          <w:spacing w:val="-2"/>
          <w:sz w:val="24"/>
          <w:szCs w:val="24"/>
        </w:rPr>
        <w:t>"</w:t>
      </w: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b/>
          <w:sz w:val="24"/>
          <w:szCs w:val="24"/>
        </w:rPr>
        <w:t>3)</w:t>
      </w:r>
      <w:r w:rsidRPr="00945EF5">
        <w:rPr>
          <w:rFonts w:cstheme="minorHAnsi"/>
          <w:sz w:val="24"/>
          <w:szCs w:val="24"/>
        </w:rPr>
        <w:t xml:space="preserve"> AKA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tarafından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aşağıdaki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5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madde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için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belirlenmiş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tehlike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sınıfları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kamuoyu</w:t>
      </w:r>
      <w:r w:rsidRPr="00945EF5">
        <w:rPr>
          <w:rFonts w:cstheme="minorHAnsi"/>
          <w:spacing w:val="-4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 xml:space="preserve">istişaresine </w:t>
      </w:r>
      <w:r w:rsidRPr="00945EF5">
        <w:rPr>
          <w:rFonts w:cstheme="minorHAnsi"/>
          <w:spacing w:val="-2"/>
          <w:sz w:val="24"/>
          <w:szCs w:val="24"/>
        </w:rPr>
        <w:t>açılmıştır:</w:t>
      </w:r>
    </w:p>
    <w:p w:rsidR="00F334D9" w:rsidRPr="005C4CC4" w:rsidRDefault="00F334D9" w:rsidP="00F334D9">
      <w:pPr>
        <w:pStyle w:val="ListeParagraf"/>
        <w:numPr>
          <w:ilvl w:val="0"/>
          <w:numId w:val="3"/>
        </w:numPr>
        <w:tabs>
          <w:tab w:val="left" w:pos="725"/>
        </w:tabs>
        <w:spacing w:before="76" w:line="225" w:lineRule="auto"/>
        <w:ind w:right="393"/>
        <w:rPr>
          <w:rFonts w:asciiTheme="minorHAnsi" w:hAnsiTheme="minorHAnsi" w:cstheme="minorHAnsi"/>
          <w:sz w:val="24"/>
          <w:szCs w:val="24"/>
        </w:rPr>
      </w:pPr>
      <w:r w:rsidRPr="005C4CC4">
        <w:rPr>
          <w:rFonts w:asciiTheme="minorHAnsi" w:hAnsiTheme="minorHAnsi" w:cstheme="minorHAnsi"/>
          <w:sz w:val="24"/>
          <w:szCs w:val="24"/>
        </w:rPr>
        <w:t xml:space="preserve">1-methylimidazole </w:t>
      </w:r>
    </w:p>
    <w:p w:rsidR="00F334D9" w:rsidRPr="005C4CC4" w:rsidRDefault="00F334D9" w:rsidP="00F334D9">
      <w:pPr>
        <w:pStyle w:val="ListeParagraf"/>
        <w:numPr>
          <w:ilvl w:val="0"/>
          <w:numId w:val="3"/>
        </w:numPr>
        <w:tabs>
          <w:tab w:val="left" w:pos="725"/>
        </w:tabs>
        <w:spacing w:before="76" w:line="225" w:lineRule="auto"/>
        <w:ind w:right="393"/>
        <w:rPr>
          <w:rFonts w:asciiTheme="minorHAnsi" w:hAnsiTheme="minorHAnsi" w:cstheme="minorHAnsi"/>
          <w:sz w:val="24"/>
          <w:szCs w:val="24"/>
        </w:rPr>
      </w:pPr>
      <w:r w:rsidRPr="005C4CC4">
        <w:rPr>
          <w:rFonts w:asciiTheme="minorHAnsi" w:hAnsiTheme="minorHAnsi" w:cstheme="minorHAnsi"/>
          <w:sz w:val="24"/>
          <w:szCs w:val="24"/>
        </w:rPr>
        <w:t>2,4,6-</w:t>
      </w:r>
      <w:r w:rsidRPr="005C4CC4">
        <w:rPr>
          <w:rFonts w:asciiTheme="minorHAnsi" w:hAnsiTheme="minorHAnsi" w:cstheme="minorHAnsi"/>
          <w:sz w:val="24"/>
          <w:szCs w:val="24"/>
        </w:rPr>
        <w:t>tris(</w:t>
      </w:r>
      <w:proofErr w:type="spellStart"/>
      <w:r w:rsidRPr="005C4CC4">
        <w:rPr>
          <w:rFonts w:asciiTheme="minorHAnsi" w:hAnsiTheme="minorHAnsi" w:cstheme="minorHAnsi"/>
          <w:sz w:val="24"/>
          <w:szCs w:val="24"/>
        </w:rPr>
        <w:t>dimethylaminomethyl</w:t>
      </w:r>
      <w:proofErr w:type="spellEnd"/>
      <w:r w:rsidRPr="005C4CC4">
        <w:rPr>
          <w:rFonts w:asciiTheme="minorHAnsi" w:hAnsiTheme="minorHAnsi" w:cstheme="minorHAnsi"/>
          <w:sz w:val="24"/>
          <w:szCs w:val="24"/>
        </w:rPr>
        <w:t>)</w:t>
      </w:r>
      <w:proofErr w:type="spellStart"/>
      <w:r w:rsidRPr="005C4CC4">
        <w:rPr>
          <w:rFonts w:asciiTheme="minorHAnsi" w:hAnsiTheme="minorHAnsi" w:cstheme="minorHAnsi"/>
          <w:sz w:val="24"/>
          <w:szCs w:val="24"/>
        </w:rPr>
        <w:t>phenol</w:t>
      </w:r>
    </w:p>
    <w:p w:rsidR="00F334D9" w:rsidRPr="005C4CC4" w:rsidRDefault="00F334D9" w:rsidP="00F334D9">
      <w:pPr>
        <w:pStyle w:val="ListeParagraf"/>
        <w:numPr>
          <w:ilvl w:val="0"/>
          <w:numId w:val="3"/>
        </w:numPr>
        <w:tabs>
          <w:tab w:val="left" w:pos="725"/>
        </w:tabs>
        <w:spacing w:before="76" w:line="225" w:lineRule="auto"/>
        <w:ind w:right="393"/>
        <w:rPr>
          <w:rFonts w:asciiTheme="minorHAnsi" w:hAnsiTheme="minorHAnsi" w:cstheme="minorHAnsi"/>
          <w:sz w:val="24"/>
          <w:szCs w:val="24"/>
        </w:rPr>
      </w:pPr>
      <w:r w:rsidRPr="005C4CC4">
        <w:rPr>
          <w:rFonts w:asciiTheme="minorHAnsi" w:hAnsiTheme="minorHAnsi" w:cstheme="minorHAnsi"/>
          <w:sz w:val="24"/>
          <w:szCs w:val="24"/>
        </w:rPr>
        <w:t>flutolanil</w:t>
      </w:r>
      <w:proofErr w:type="spellEnd"/>
      <w:r w:rsidRPr="005C4CC4">
        <w:rPr>
          <w:rFonts w:asciiTheme="minorHAnsi" w:hAnsiTheme="minorHAnsi" w:cstheme="minorHAnsi"/>
          <w:sz w:val="24"/>
          <w:szCs w:val="24"/>
        </w:rPr>
        <w:t xml:space="preserve"> (ISO); N-[3-(propan-2-yloxy)</w:t>
      </w:r>
      <w:proofErr w:type="spellStart"/>
      <w:r w:rsidRPr="005C4CC4">
        <w:rPr>
          <w:rFonts w:asciiTheme="minorHAnsi" w:hAnsiTheme="minorHAnsi" w:cstheme="minorHAnsi"/>
          <w:sz w:val="24"/>
          <w:szCs w:val="24"/>
        </w:rPr>
        <w:t>phenyl</w:t>
      </w:r>
      <w:proofErr w:type="spellEnd"/>
      <w:r w:rsidRPr="005C4CC4">
        <w:rPr>
          <w:rFonts w:asciiTheme="minorHAnsi" w:hAnsiTheme="minorHAnsi" w:cstheme="minorHAnsi"/>
          <w:sz w:val="24"/>
          <w:szCs w:val="24"/>
        </w:rPr>
        <w:t>]-2-(</w:t>
      </w:r>
      <w:proofErr w:type="spellStart"/>
      <w:r w:rsidRPr="005C4CC4">
        <w:rPr>
          <w:rFonts w:asciiTheme="minorHAnsi" w:hAnsiTheme="minorHAnsi" w:cstheme="minorHAnsi"/>
          <w:sz w:val="24"/>
          <w:szCs w:val="24"/>
        </w:rPr>
        <w:t>trifluoromethyl</w:t>
      </w:r>
      <w:proofErr w:type="spellEnd"/>
      <w:r w:rsidRPr="005C4CC4">
        <w:rPr>
          <w:rFonts w:asciiTheme="minorHAnsi" w:hAnsiTheme="minorHAnsi" w:cstheme="minorHAnsi"/>
          <w:sz w:val="24"/>
          <w:szCs w:val="24"/>
        </w:rPr>
        <w:t>)</w:t>
      </w:r>
      <w:proofErr w:type="spellStart"/>
      <w:r w:rsidRPr="005C4CC4">
        <w:rPr>
          <w:rFonts w:asciiTheme="minorHAnsi" w:hAnsiTheme="minorHAnsi" w:cstheme="minorHAnsi"/>
          <w:sz w:val="24"/>
          <w:szCs w:val="24"/>
        </w:rPr>
        <w:t>benzamide</w:t>
      </w:r>
      <w:proofErr w:type="spellEnd"/>
      <w:r w:rsidRPr="005C4CC4">
        <w:rPr>
          <w:rFonts w:asciiTheme="minorHAnsi" w:hAnsiTheme="minorHAnsi" w:cstheme="minorHAnsi"/>
          <w:sz w:val="24"/>
          <w:szCs w:val="24"/>
        </w:rPr>
        <w:t xml:space="preserve">; α,α,α-trifluoro-3′-isopropoxy-o-toluanilide </w:t>
      </w:r>
    </w:p>
    <w:p w:rsidR="00F334D9" w:rsidRPr="005C4CC4" w:rsidRDefault="00F334D9" w:rsidP="00F334D9">
      <w:pPr>
        <w:pStyle w:val="ListeParagraf"/>
        <w:numPr>
          <w:ilvl w:val="0"/>
          <w:numId w:val="3"/>
        </w:numPr>
        <w:tabs>
          <w:tab w:val="left" w:pos="725"/>
        </w:tabs>
        <w:spacing w:before="76" w:line="225" w:lineRule="auto"/>
        <w:ind w:right="393"/>
        <w:rPr>
          <w:rFonts w:asciiTheme="minorHAnsi" w:hAnsiTheme="minorHAnsi" w:cstheme="minorHAnsi"/>
          <w:sz w:val="24"/>
          <w:szCs w:val="24"/>
        </w:rPr>
      </w:pPr>
      <w:proofErr w:type="spellStart"/>
      <w:r w:rsidRPr="005C4CC4">
        <w:rPr>
          <w:rFonts w:asciiTheme="minorHAnsi" w:hAnsiTheme="minorHAnsi" w:cstheme="minorHAnsi"/>
          <w:sz w:val="24"/>
          <w:szCs w:val="24"/>
        </w:rPr>
        <w:t>imidazole</w:t>
      </w:r>
      <w:proofErr w:type="spellEnd"/>
      <w:r w:rsidRPr="005C4CC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4CC4">
        <w:rPr>
          <w:rFonts w:asciiTheme="minorHAnsi" w:hAnsiTheme="minorHAnsi" w:cstheme="minorHAnsi"/>
          <w:sz w:val="24"/>
          <w:szCs w:val="24"/>
        </w:rPr>
        <w:t>hydrobromide</w:t>
      </w:r>
      <w:proofErr w:type="spellEnd"/>
      <w:r w:rsidRPr="005C4CC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45EF5" w:rsidRPr="005C4CC4" w:rsidRDefault="00F334D9" w:rsidP="00F334D9">
      <w:pPr>
        <w:pStyle w:val="ListeParagraf"/>
        <w:numPr>
          <w:ilvl w:val="0"/>
          <w:numId w:val="3"/>
        </w:numPr>
        <w:tabs>
          <w:tab w:val="left" w:pos="725"/>
        </w:tabs>
        <w:spacing w:before="76" w:line="225" w:lineRule="auto"/>
        <w:ind w:right="393"/>
        <w:rPr>
          <w:rFonts w:asciiTheme="minorHAnsi" w:hAnsiTheme="minorHAnsi" w:cstheme="minorHAnsi"/>
          <w:sz w:val="24"/>
          <w:szCs w:val="24"/>
        </w:rPr>
      </w:pPr>
      <w:proofErr w:type="spellStart"/>
      <w:r w:rsidRPr="005C4CC4">
        <w:rPr>
          <w:rFonts w:asciiTheme="minorHAnsi" w:hAnsiTheme="minorHAnsi" w:cstheme="minorHAnsi"/>
          <w:sz w:val="24"/>
          <w:szCs w:val="24"/>
        </w:rPr>
        <w:t>propaquizafop</w:t>
      </w:r>
      <w:proofErr w:type="spellEnd"/>
      <w:r w:rsidRPr="005C4CC4">
        <w:rPr>
          <w:rFonts w:asciiTheme="minorHAnsi" w:hAnsiTheme="minorHAnsi" w:cstheme="minorHAnsi"/>
          <w:sz w:val="24"/>
          <w:szCs w:val="24"/>
        </w:rPr>
        <w:t xml:space="preserve"> (ISO); 2-[(isopropylideneamino)oxy]ethyl(2R)-2-{4-[(6-chloroquinoxalin-2-yl) </w:t>
      </w:r>
      <w:proofErr w:type="spellStart"/>
      <w:r w:rsidRPr="005C4CC4">
        <w:rPr>
          <w:rFonts w:asciiTheme="minorHAnsi" w:hAnsiTheme="minorHAnsi" w:cstheme="minorHAnsi"/>
          <w:sz w:val="24"/>
          <w:szCs w:val="24"/>
        </w:rPr>
        <w:t>oxy</w:t>
      </w:r>
      <w:proofErr w:type="spellEnd"/>
      <w:r w:rsidRPr="005C4CC4">
        <w:rPr>
          <w:rFonts w:asciiTheme="minorHAnsi" w:hAnsiTheme="minorHAnsi" w:cstheme="minorHAnsi"/>
          <w:sz w:val="24"/>
          <w:szCs w:val="24"/>
        </w:rPr>
        <w:t>]</w:t>
      </w:r>
      <w:proofErr w:type="spellStart"/>
      <w:r w:rsidRPr="005C4CC4">
        <w:rPr>
          <w:rFonts w:asciiTheme="minorHAnsi" w:hAnsiTheme="minorHAnsi" w:cstheme="minorHAnsi"/>
          <w:sz w:val="24"/>
          <w:szCs w:val="24"/>
        </w:rPr>
        <w:t>phenoxy</w:t>
      </w:r>
      <w:proofErr w:type="spellEnd"/>
      <w:r w:rsidRPr="005C4CC4">
        <w:rPr>
          <w:rFonts w:asciiTheme="minorHAnsi" w:hAnsiTheme="minorHAnsi" w:cstheme="minorHAnsi"/>
          <w:sz w:val="24"/>
          <w:szCs w:val="24"/>
        </w:rPr>
        <w:t>}</w:t>
      </w:r>
      <w:proofErr w:type="spellStart"/>
      <w:r w:rsidRPr="005C4CC4">
        <w:rPr>
          <w:rFonts w:asciiTheme="minorHAnsi" w:hAnsiTheme="minorHAnsi" w:cstheme="minorHAnsi"/>
          <w:sz w:val="24"/>
          <w:szCs w:val="24"/>
        </w:rPr>
        <w:t>propanoate</w:t>
      </w:r>
      <w:proofErr w:type="spellEnd"/>
    </w:p>
    <w:p w:rsidR="00F334D9" w:rsidRPr="00945EF5" w:rsidRDefault="00F334D9" w:rsidP="00945EF5">
      <w:pPr>
        <w:widowControl w:val="0"/>
        <w:tabs>
          <w:tab w:val="left" w:pos="725"/>
        </w:tabs>
        <w:autoSpaceDE w:val="0"/>
        <w:autoSpaceDN w:val="0"/>
        <w:spacing w:before="76" w:after="0" w:line="225" w:lineRule="auto"/>
        <w:ind w:left="725" w:right="393"/>
        <w:rPr>
          <w:rFonts w:eastAsia="Times New Roman" w:cstheme="minorHAnsi"/>
          <w:sz w:val="24"/>
          <w:szCs w:val="24"/>
        </w:rPr>
      </w:pPr>
    </w:p>
    <w:p w:rsidR="00945EF5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rFonts w:cstheme="minorHAnsi"/>
          <w:sz w:val="24"/>
          <w:szCs w:val="24"/>
        </w:rPr>
        <w:t>Konuya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ilişkin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olarak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60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gün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boyunca</w:t>
      </w:r>
      <w:r w:rsidRPr="00945EF5">
        <w:rPr>
          <w:rFonts w:cstheme="minorHAnsi"/>
          <w:spacing w:val="-2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aşağıdaki</w:t>
      </w:r>
      <w:r w:rsidRPr="00945EF5">
        <w:rPr>
          <w:rFonts w:cstheme="minorHAnsi"/>
          <w:spacing w:val="-2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bağlantıdan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görüş</w:t>
      </w:r>
      <w:r w:rsidRPr="00945EF5">
        <w:rPr>
          <w:rFonts w:cstheme="minorHAnsi"/>
          <w:spacing w:val="-3"/>
          <w:sz w:val="24"/>
          <w:szCs w:val="24"/>
        </w:rPr>
        <w:t xml:space="preserve"> </w:t>
      </w:r>
      <w:r w:rsidRPr="00945EF5">
        <w:rPr>
          <w:rFonts w:cstheme="minorHAnsi"/>
          <w:sz w:val="24"/>
          <w:szCs w:val="24"/>
        </w:rPr>
        <w:t>verilmesi</w:t>
      </w:r>
      <w:r w:rsidRPr="00945EF5">
        <w:rPr>
          <w:rFonts w:cstheme="minorHAnsi"/>
          <w:spacing w:val="-2"/>
          <w:sz w:val="24"/>
          <w:szCs w:val="24"/>
        </w:rPr>
        <w:t xml:space="preserve"> mümkündür şeklinde ifade edilmiştir.</w:t>
      </w:r>
    </w:p>
    <w:p w:rsidR="00F9762C" w:rsidRPr="00945EF5" w:rsidRDefault="00945EF5" w:rsidP="00945EF5">
      <w:pPr>
        <w:jc w:val="both"/>
        <w:rPr>
          <w:rFonts w:cstheme="minorHAnsi"/>
          <w:sz w:val="24"/>
          <w:szCs w:val="24"/>
        </w:rPr>
      </w:pPr>
      <w:r w:rsidRPr="00945EF5">
        <w:rPr>
          <w:sz w:val="24"/>
          <w:szCs w:val="24"/>
        </w:rPr>
        <w:t>"https://</w:t>
      </w:r>
      <w:proofErr w:type="gramStart"/>
      <w:r w:rsidRPr="00945EF5">
        <w:rPr>
          <w:sz w:val="24"/>
          <w:szCs w:val="24"/>
        </w:rPr>
        <w:t>echa.europa</w:t>
      </w:r>
      <w:proofErr w:type="gramEnd"/>
      <w:r w:rsidRPr="00945EF5">
        <w:rPr>
          <w:sz w:val="24"/>
          <w:szCs w:val="24"/>
        </w:rPr>
        <w:t>.eu/fr/harmonised-classification-and labellingconsultation?p_p_id=viewsubstances_WAR_echarevsubstanceportlet&amp;p_p_lifecycle=0&amp;p_p_state=normal&amp;p_p_</w:t>
      </w:r>
      <w:bookmarkStart w:id="0" w:name="_GoBack"/>
      <w:bookmarkEnd w:id="0"/>
      <w:r w:rsidRPr="00945EF5">
        <w:rPr>
          <w:sz w:val="24"/>
          <w:szCs w:val="24"/>
        </w:rPr>
        <w:t>mode=view"</w:t>
      </w:r>
    </w:p>
    <w:sectPr w:rsidR="00F9762C" w:rsidRPr="0094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08B0"/>
    <w:multiLevelType w:val="hybridMultilevel"/>
    <w:tmpl w:val="08F03FD8"/>
    <w:lvl w:ilvl="0" w:tplc="041F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" w15:restartNumberingAfterBreak="0">
    <w:nsid w:val="5A38567C"/>
    <w:multiLevelType w:val="hybridMultilevel"/>
    <w:tmpl w:val="542455F6"/>
    <w:lvl w:ilvl="0" w:tplc="15060FDA">
      <w:start w:val="1"/>
      <w:numFmt w:val="upperRoman"/>
      <w:lvlText w:val="%1."/>
      <w:lvlJc w:val="left"/>
      <w:pPr>
        <w:ind w:left="5" w:hanging="2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D2C98CE">
      <w:numFmt w:val="bullet"/>
      <w:lvlText w:val="•"/>
      <w:lvlJc w:val="left"/>
      <w:pPr>
        <w:ind w:left="1020" w:hanging="266"/>
      </w:pPr>
      <w:rPr>
        <w:rFonts w:hint="default"/>
        <w:lang w:val="tr-TR" w:eastAsia="en-US" w:bidi="ar-SA"/>
      </w:rPr>
    </w:lvl>
    <w:lvl w:ilvl="2" w:tplc="8704220C">
      <w:numFmt w:val="bullet"/>
      <w:lvlText w:val="•"/>
      <w:lvlJc w:val="left"/>
      <w:pPr>
        <w:ind w:left="2041" w:hanging="266"/>
      </w:pPr>
      <w:rPr>
        <w:rFonts w:hint="default"/>
        <w:lang w:val="tr-TR" w:eastAsia="en-US" w:bidi="ar-SA"/>
      </w:rPr>
    </w:lvl>
    <w:lvl w:ilvl="3" w:tplc="7F64BE70">
      <w:numFmt w:val="bullet"/>
      <w:lvlText w:val="•"/>
      <w:lvlJc w:val="left"/>
      <w:pPr>
        <w:ind w:left="3061" w:hanging="266"/>
      </w:pPr>
      <w:rPr>
        <w:rFonts w:hint="default"/>
        <w:lang w:val="tr-TR" w:eastAsia="en-US" w:bidi="ar-SA"/>
      </w:rPr>
    </w:lvl>
    <w:lvl w:ilvl="4" w:tplc="7DA8FF34">
      <w:numFmt w:val="bullet"/>
      <w:lvlText w:val="•"/>
      <w:lvlJc w:val="left"/>
      <w:pPr>
        <w:ind w:left="4082" w:hanging="266"/>
      </w:pPr>
      <w:rPr>
        <w:rFonts w:hint="default"/>
        <w:lang w:val="tr-TR" w:eastAsia="en-US" w:bidi="ar-SA"/>
      </w:rPr>
    </w:lvl>
    <w:lvl w:ilvl="5" w:tplc="1E004EE0">
      <w:numFmt w:val="bullet"/>
      <w:lvlText w:val="•"/>
      <w:lvlJc w:val="left"/>
      <w:pPr>
        <w:ind w:left="5103" w:hanging="266"/>
      </w:pPr>
      <w:rPr>
        <w:rFonts w:hint="default"/>
        <w:lang w:val="tr-TR" w:eastAsia="en-US" w:bidi="ar-SA"/>
      </w:rPr>
    </w:lvl>
    <w:lvl w:ilvl="6" w:tplc="387C70C2">
      <w:numFmt w:val="bullet"/>
      <w:lvlText w:val="•"/>
      <w:lvlJc w:val="left"/>
      <w:pPr>
        <w:ind w:left="6123" w:hanging="266"/>
      </w:pPr>
      <w:rPr>
        <w:rFonts w:hint="default"/>
        <w:lang w:val="tr-TR" w:eastAsia="en-US" w:bidi="ar-SA"/>
      </w:rPr>
    </w:lvl>
    <w:lvl w:ilvl="7" w:tplc="4376804E">
      <w:numFmt w:val="bullet"/>
      <w:lvlText w:val="•"/>
      <w:lvlJc w:val="left"/>
      <w:pPr>
        <w:ind w:left="7144" w:hanging="266"/>
      </w:pPr>
      <w:rPr>
        <w:rFonts w:hint="default"/>
        <w:lang w:val="tr-TR" w:eastAsia="en-US" w:bidi="ar-SA"/>
      </w:rPr>
    </w:lvl>
    <w:lvl w:ilvl="8" w:tplc="B5DE9F16">
      <w:numFmt w:val="bullet"/>
      <w:lvlText w:val="•"/>
      <w:lvlJc w:val="left"/>
      <w:pPr>
        <w:ind w:left="8164" w:hanging="266"/>
      </w:pPr>
      <w:rPr>
        <w:rFonts w:hint="default"/>
        <w:lang w:val="tr-TR" w:eastAsia="en-US" w:bidi="ar-SA"/>
      </w:rPr>
    </w:lvl>
  </w:abstractNum>
  <w:abstractNum w:abstractNumId="2" w15:restartNumberingAfterBreak="0">
    <w:nsid w:val="6E7B3DA7"/>
    <w:multiLevelType w:val="hybridMultilevel"/>
    <w:tmpl w:val="FC225B10"/>
    <w:lvl w:ilvl="0" w:tplc="D222E6CA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tr-TR" w:eastAsia="en-US" w:bidi="ar-SA"/>
      </w:rPr>
    </w:lvl>
    <w:lvl w:ilvl="1" w:tplc="97B8EF5C">
      <w:numFmt w:val="bullet"/>
      <w:lvlText w:val="•"/>
      <w:lvlJc w:val="left"/>
      <w:pPr>
        <w:ind w:left="1668" w:hanging="360"/>
      </w:pPr>
      <w:rPr>
        <w:rFonts w:hint="default"/>
        <w:lang w:val="tr-TR" w:eastAsia="en-US" w:bidi="ar-SA"/>
      </w:rPr>
    </w:lvl>
    <w:lvl w:ilvl="2" w:tplc="54A0D32A">
      <w:numFmt w:val="bullet"/>
      <w:lvlText w:val="•"/>
      <w:lvlJc w:val="left"/>
      <w:pPr>
        <w:ind w:left="2617" w:hanging="360"/>
      </w:pPr>
      <w:rPr>
        <w:rFonts w:hint="default"/>
        <w:lang w:val="tr-TR" w:eastAsia="en-US" w:bidi="ar-SA"/>
      </w:rPr>
    </w:lvl>
    <w:lvl w:ilvl="3" w:tplc="8B76AC3C">
      <w:numFmt w:val="bullet"/>
      <w:lvlText w:val="•"/>
      <w:lvlJc w:val="left"/>
      <w:pPr>
        <w:ind w:left="3565" w:hanging="360"/>
      </w:pPr>
      <w:rPr>
        <w:rFonts w:hint="default"/>
        <w:lang w:val="tr-TR" w:eastAsia="en-US" w:bidi="ar-SA"/>
      </w:rPr>
    </w:lvl>
    <w:lvl w:ilvl="4" w:tplc="F1FC19E6">
      <w:numFmt w:val="bullet"/>
      <w:lvlText w:val="•"/>
      <w:lvlJc w:val="left"/>
      <w:pPr>
        <w:ind w:left="4514" w:hanging="360"/>
      </w:pPr>
      <w:rPr>
        <w:rFonts w:hint="default"/>
        <w:lang w:val="tr-TR" w:eastAsia="en-US" w:bidi="ar-SA"/>
      </w:rPr>
    </w:lvl>
    <w:lvl w:ilvl="5" w:tplc="0DEA1BC2">
      <w:numFmt w:val="bullet"/>
      <w:lvlText w:val="•"/>
      <w:lvlJc w:val="left"/>
      <w:pPr>
        <w:ind w:left="5463" w:hanging="360"/>
      </w:pPr>
      <w:rPr>
        <w:rFonts w:hint="default"/>
        <w:lang w:val="tr-TR" w:eastAsia="en-US" w:bidi="ar-SA"/>
      </w:rPr>
    </w:lvl>
    <w:lvl w:ilvl="6" w:tplc="629A1DCA">
      <w:numFmt w:val="bullet"/>
      <w:lvlText w:val="•"/>
      <w:lvlJc w:val="left"/>
      <w:pPr>
        <w:ind w:left="6411" w:hanging="360"/>
      </w:pPr>
      <w:rPr>
        <w:rFonts w:hint="default"/>
        <w:lang w:val="tr-TR" w:eastAsia="en-US" w:bidi="ar-SA"/>
      </w:rPr>
    </w:lvl>
    <w:lvl w:ilvl="7" w:tplc="4438AC3E">
      <w:numFmt w:val="bullet"/>
      <w:lvlText w:val="•"/>
      <w:lvlJc w:val="left"/>
      <w:pPr>
        <w:ind w:left="7360" w:hanging="360"/>
      </w:pPr>
      <w:rPr>
        <w:rFonts w:hint="default"/>
        <w:lang w:val="tr-TR" w:eastAsia="en-US" w:bidi="ar-SA"/>
      </w:rPr>
    </w:lvl>
    <w:lvl w:ilvl="8" w:tplc="3C8889E6">
      <w:numFmt w:val="bullet"/>
      <w:lvlText w:val="•"/>
      <w:lvlJc w:val="left"/>
      <w:pPr>
        <w:ind w:left="8308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90"/>
    <w:rsid w:val="003E4290"/>
    <w:rsid w:val="005C4CC4"/>
    <w:rsid w:val="00945EF5"/>
    <w:rsid w:val="00F334D9"/>
    <w:rsid w:val="00F9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5899"/>
  <w15:chartTrackingRefBased/>
  <w15:docId w15:val="{C8AAF828-DAAD-411F-834B-A8500547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45EF5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45EF5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945EF5"/>
    <w:pPr>
      <w:widowControl w:val="0"/>
      <w:autoSpaceDE w:val="0"/>
      <w:autoSpaceDN w:val="0"/>
      <w:spacing w:after="0" w:line="240" w:lineRule="auto"/>
      <w:ind w:left="5" w:hanging="35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 OZ</dc:creator>
  <cp:keywords/>
  <dc:description/>
  <cp:lastModifiedBy>SALIHA OZ</cp:lastModifiedBy>
  <cp:revision>4</cp:revision>
  <dcterms:created xsi:type="dcterms:W3CDTF">2025-12-17T10:47:00Z</dcterms:created>
  <dcterms:modified xsi:type="dcterms:W3CDTF">2025-12-17T10:59:00Z</dcterms:modified>
</cp:coreProperties>
</file>